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44" w:rsidRDefault="00360444"/>
    <w:p w:rsidR="00715F28" w:rsidRDefault="00982BDD">
      <w:r>
        <w:t>Direcția Generală de Gospodărire Comunală</w:t>
      </w:r>
    </w:p>
    <w:p w:rsidR="00715F28" w:rsidRDefault="00325126">
      <w:r>
        <w:t>n</w:t>
      </w:r>
      <w:r w:rsidR="00982BDD">
        <w:t xml:space="preserve">r. </w:t>
      </w:r>
      <w:r>
        <w:t>60718/2024</w:t>
      </w:r>
    </w:p>
    <w:p w:rsidR="00715F28" w:rsidRDefault="00715F28"/>
    <w:p w:rsidR="00715F28" w:rsidRDefault="00715F28"/>
    <w:p w:rsidR="00715F28" w:rsidRDefault="00715F28"/>
    <w:p w:rsidR="00715F28" w:rsidRPr="00113C84" w:rsidRDefault="00715F28" w:rsidP="00715F28">
      <w:pPr>
        <w:jc w:val="center"/>
        <w:rPr>
          <w:b/>
          <w:sz w:val="23"/>
          <w:szCs w:val="23"/>
          <w:u w:val="single"/>
        </w:rPr>
      </w:pPr>
      <w:r w:rsidRPr="00113C84">
        <w:rPr>
          <w:b/>
          <w:sz w:val="23"/>
          <w:szCs w:val="23"/>
          <w:u w:val="single"/>
        </w:rPr>
        <w:t>RAPORT  DE  SPECIALITATE</w:t>
      </w:r>
    </w:p>
    <w:p w:rsidR="00D271BC" w:rsidRDefault="00CF77CC" w:rsidP="00D271BC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pentru</w:t>
      </w:r>
      <w:r w:rsidR="00715F28" w:rsidRPr="00113C84">
        <w:rPr>
          <w:sz w:val="23"/>
          <w:szCs w:val="23"/>
        </w:rPr>
        <w:t xml:space="preserve"> </w:t>
      </w:r>
      <w:r w:rsidR="00715F28">
        <w:rPr>
          <w:sz w:val="23"/>
          <w:szCs w:val="23"/>
        </w:rPr>
        <w:t xml:space="preserve">modificarea </w:t>
      </w:r>
      <w:r w:rsidR="00526FBB">
        <w:rPr>
          <w:sz w:val="23"/>
          <w:szCs w:val="23"/>
        </w:rPr>
        <w:t>ș</w:t>
      </w:r>
      <w:r w:rsidR="00651023">
        <w:rPr>
          <w:sz w:val="23"/>
          <w:szCs w:val="23"/>
        </w:rPr>
        <w:t xml:space="preserve">i completarea </w:t>
      </w:r>
      <w:r w:rsidR="00715F28">
        <w:rPr>
          <w:sz w:val="23"/>
          <w:szCs w:val="23"/>
        </w:rPr>
        <w:t xml:space="preserve">regulamentului </w:t>
      </w:r>
      <w:r w:rsidR="00715F28" w:rsidRPr="00113C84">
        <w:rPr>
          <w:sz w:val="23"/>
          <w:szCs w:val="23"/>
        </w:rPr>
        <w:t xml:space="preserve">privind </w:t>
      </w:r>
      <w:proofErr w:type="spellStart"/>
      <w:r w:rsidR="00715F28" w:rsidRPr="00113C84">
        <w:rPr>
          <w:sz w:val="23"/>
          <w:szCs w:val="23"/>
        </w:rPr>
        <w:t>staţionarea</w:t>
      </w:r>
      <w:proofErr w:type="spellEnd"/>
      <w:r w:rsidR="00715F28" w:rsidRPr="00113C84">
        <w:rPr>
          <w:sz w:val="23"/>
          <w:szCs w:val="23"/>
        </w:rPr>
        <w:t>, parcarea, regimul de acces și circulația autovehiculelor cu masă totală maximă autorizată mai mare de 3,5 tone</w:t>
      </w:r>
      <w:r w:rsidR="002A09EA">
        <w:rPr>
          <w:sz w:val="23"/>
          <w:szCs w:val="23"/>
        </w:rPr>
        <w:t xml:space="preserve"> destinat</w:t>
      </w:r>
      <w:r w:rsidR="00635086">
        <w:rPr>
          <w:sz w:val="23"/>
          <w:szCs w:val="23"/>
        </w:rPr>
        <w:t>e</w:t>
      </w:r>
      <w:r w:rsidR="002A09EA">
        <w:rPr>
          <w:sz w:val="23"/>
          <w:szCs w:val="23"/>
        </w:rPr>
        <w:t xml:space="preserve"> transportului de marfă</w:t>
      </w:r>
      <w:r w:rsidR="00715F28" w:rsidRPr="00113C84">
        <w:rPr>
          <w:sz w:val="23"/>
          <w:szCs w:val="23"/>
        </w:rPr>
        <w:t xml:space="preserve"> pe teritoriul Municipiului Sfântu Gheorghe</w:t>
      </w:r>
      <w:r w:rsidR="00715F28" w:rsidRPr="00113C84">
        <w:rPr>
          <w:b/>
          <w:sz w:val="23"/>
          <w:szCs w:val="23"/>
        </w:rPr>
        <w:t xml:space="preserve"> </w:t>
      </w:r>
      <w:r w:rsidR="00D271BC">
        <w:rPr>
          <w:sz w:val="23"/>
          <w:szCs w:val="23"/>
        </w:rPr>
        <w:t>aprobat prin HCL 230/202</w:t>
      </w:r>
      <w:r w:rsidR="006F1979">
        <w:rPr>
          <w:sz w:val="23"/>
          <w:szCs w:val="23"/>
        </w:rPr>
        <w:t>4</w:t>
      </w:r>
    </w:p>
    <w:p w:rsidR="00982BDD" w:rsidRDefault="00715F28" w:rsidP="00D271BC">
      <w:pPr>
        <w:jc w:val="center"/>
        <w:rPr>
          <w:sz w:val="23"/>
          <w:szCs w:val="23"/>
        </w:rPr>
      </w:pPr>
      <w:r w:rsidRPr="00113C84">
        <w:rPr>
          <w:sz w:val="23"/>
          <w:szCs w:val="23"/>
        </w:rPr>
        <w:t xml:space="preserve">  </w:t>
      </w:r>
    </w:p>
    <w:p w:rsidR="00982BDD" w:rsidRDefault="00982BDD" w:rsidP="00715F28">
      <w:pPr>
        <w:jc w:val="both"/>
        <w:rPr>
          <w:sz w:val="23"/>
          <w:szCs w:val="23"/>
        </w:rPr>
      </w:pPr>
    </w:p>
    <w:p w:rsidR="007C3E00" w:rsidRDefault="005D15F8" w:rsidP="00715F2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Având în vedere faptul că a fost </w:t>
      </w:r>
      <w:r w:rsidR="00A14CC1">
        <w:rPr>
          <w:sz w:val="23"/>
          <w:szCs w:val="23"/>
        </w:rPr>
        <w:t>dat</w:t>
      </w:r>
      <w:r w:rsidR="00AD0D65">
        <w:rPr>
          <w:sz w:val="23"/>
          <w:szCs w:val="23"/>
        </w:rPr>
        <w:t>ă</w:t>
      </w:r>
      <w:r w:rsidR="00A14CC1">
        <w:rPr>
          <w:sz w:val="23"/>
          <w:szCs w:val="23"/>
        </w:rPr>
        <w:t xml:space="preserve"> în f</w:t>
      </w:r>
      <w:r w:rsidR="00325126">
        <w:rPr>
          <w:sz w:val="23"/>
          <w:szCs w:val="23"/>
        </w:rPr>
        <w:t>olosință</w:t>
      </w:r>
      <w:bookmarkStart w:id="0" w:name="_GoBack"/>
      <w:bookmarkEnd w:id="0"/>
      <w:r w:rsidR="00A14CC1">
        <w:rPr>
          <w:sz w:val="23"/>
          <w:szCs w:val="23"/>
        </w:rPr>
        <w:t xml:space="preserve"> ocolitoarea municipiului Sfântu Gheorghe se propune modificarea art. 3 </w:t>
      </w:r>
      <w:r w:rsidR="00651023">
        <w:rPr>
          <w:sz w:val="23"/>
          <w:szCs w:val="23"/>
        </w:rPr>
        <w:t xml:space="preserve"> alin (1) </w:t>
      </w:r>
      <w:proofErr w:type="spellStart"/>
      <w:r w:rsidR="007C3E00">
        <w:rPr>
          <w:sz w:val="23"/>
          <w:szCs w:val="23"/>
        </w:rPr>
        <w:t>pct.a</w:t>
      </w:r>
      <w:proofErr w:type="spellEnd"/>
      <w:r w:rsidR="007C3E00">
        <w:rPr>
          <w:sz w:val="23"/>
          <w:szCs w:val="23"/>
        </w:rPr>
        <w:t xml:space="preserve">) </w:t>
      </w:r>
      <w:r w:rsidR="00A14CC1">
        <w:rPr>
          <w:sz w:val="23"/>
          <w:szCs w:val="23"/>
        </w:rPr>
        <w:t xml:space="preserve">din </w:t>
      </w:r>
      <w:r w:rsidR="007C3E00">
        <w:rPr>
          <w:sz w:val="23"/>
          <w:szCs w:val="23"/>
        </w:rPr>
        <w:t xml:space="preserve">Regulamentul </w:t>
      </w:r>
      <w:r w:rsidR="007C3E00" w:rsidRPr="00113C84">
        <w:rPr>
          <w:sz w:val="23"/>
          <w:szCs w:val="23"/>
        </w:rPr>
        <w:t xml:space="preserve">privind </w:t>
      </w:r>
      <w:proofErr w:type="spellStart"/>
      <w:r w:rsidR="007C3E00" w:rsidRPr="00113C84">
        <w:rPr>
          <w:sz w:val="23"/>
          <w:szCs w:val="23"/>
        </w:rPr>
        <w:t>staţionarea</w:t>
      </w:r>
      <w:proofErr w:type="spellEnd"/>
      <w:r w:rsidR="007C3E00" w:rsidRPr="00113C84">
        <w:rPr>
          <w:sz w:val="23"/>
          <w:szCs w:val="23"/>
        </w:rPr>
        <w:t>, parcarea, regimul de acces și circulația autovehiculelor cu masă totală maximă autorizată mai mare de 3,5 tone</w:t>
      </w:r>
      <w:r w:rsidR="00635086">
        <w:rPr>
          <w:sz w:val="23"/>
          <w:szCs w:val="23"/>
        </w:rPr>
        <w:t>,</w:t>
      </w:r>
      <w:r w:rsidR="00635086" w:rsidRPr="00635086">
        <w:rPr>
          <w:sz w:val="23"/>
          <w:szCs w:val="23"/>
        </w:rPr>
        <w:t xml:space="preserve"> </w:t>
      </w:r>
      <w:r w:rsidR="00635086">
        <w:rPr>
          <w:sz w:val="23"/>
          <w:szCs w:val="23"/>
        </w:rPr>
        <w:t>destinate transportului de marfă</w:t>
      </w:r>
      <w:r w:rsidR="007C3E00" w:rsidRPr="00113C84">
        <w:rPr>
          <w:sz w:val="23"/>
          <w:szCs w:val="23"/>
        </w:rPr>
        <w:t xml:space="preserve"> pe teritoriul Municipiului Sfântu Gheorghe</w:t>
      </w:r>
      <w:r w:rsidR="007C3E00">
        <w:rPr>
          <w:sz w:val="23"/>
          <w:szCs w:val="23"/>
        </w:rPr>
        <w:t xml:space="preserve"> după cum urmează:</w:t>
      </w:r>
    </w:p>
    <w:p w:rsidR="007C3E00" w:rsidRDefault="007C3E00" w:rsidP="007C3E00">
      <w:pPr>
        <w:pStyle w:val="ListParagraph"/>
        <w:numPr>
          <w:ilvl w:val="0"/>
          <w:numId w:val="1"/>
        </w:numPr>
        <w:jc w:val="both"/>
        <w:rPr>
          <w:sz w:val="23"/>
          <w:szCs w:val="23"/>
        </w:rPr>
      </w:pPr>
      <w:r w:rsidRPr="008A46A6">
        <w:rPr>
          <w:sz w:val="23"/>
          <w:szCs w:val="23"/>
        </w:rPr>
        <w:t xml:space="preserve">Tonaj nelimitat: accesul și circulația pe străzile </w:t>
      </w:r>
      <w:r w:rsidR="008A46A6" w:rsidRPr="008A46A6">
        <w:rPr>
          <w:sz w:val="23"/>
          <w:szCs w:val="23"/>
        </w:rPr>
        <w:t xml:space="preserve">József Attila </w:t>
      </w:r>
      <w:r w:rsidR="008A46A6">
        <w:rPr>
          <w:sz w:val="23"/>
          <w:szCs w:val="23"/>
        </w:rPr>
        <w:t>ș</w:t>
      </w:r>
      <w:r w:rsidR="008A46A6" w:rsidRPr="008A46A6">
        <w:rPr>
          <w:sz w:val="23"/>
          <w:szCs w:val="23"/>
        </w:rPr>
        <w:t>i Jókai Mór</w:t>
      </w:r>
      <w:r w:rsidR="003E7521">
        <w:rPr>
          <w:sz w:val="23"/>
          <w:szCs w:val="23"/>
        </w:rPr>
        <w:t>;</w:t>
      </w:r>
    </w:p>
    <w:p w:rsidR="00A65E1E" w:rsidRDefault="00A65E1E" w:rsidP="007F7134">
      <w:pPr>
        <w:jc w:val="both"/>
        <w:rPr>
          <w:sz w:val="23"/>
          <w:szCs w:val="23"/>
        </w:rPr>
      </w:pPr>
    </w:p>
    <w:p w:rsidR="00932E08" w:rsidRPr="00934BCC" w:rsidRDefault="007F7134" w:rsidP="007F713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8837E6">
        <w:rPr>
          <w:sz w:val="23"/>
          <w:szCs w:val="23"/>
        </w:rPr>
        <w:t>Totodată s</w:t>
      </w:r>
      <w:r w:rsidR="00D271BC">
        <w:rPr>
          <w:sz w:val="23"/>
          <w:szCs w:val="23"/>
        </w:rPr>
        <w:t>e propune l</w:t>
      </w:r>
      <w:r w:rsidR="00A65E1E">
        <w:rPr>
          <w:sz w:val="23"/>
          <w:szCs w:val="23"/>
        </w:rPr>
        <w:t>a art.4</w:t>
      </w:r>
      <w:r w:rsidR="008E27E8">
        <w:rPr>
          <w:sz w:val="23"/>
          <w:szCs w:val="23"/>
        </w:rPr>
        <w:t xml:space="preserve">) </w:t>
      </w:r>
      <w:r w:rsidR="00D271BC">
        <w:rPr>
          <w:sz w:val="23"/>
          <w:szCs w:val="23"/>
        </w:rPr>
        <w:t>introducerea</w:t>
      </w:r>
      <w:r w:rsidR="00651023" w:rsidRPr="00651023">
        <w:rPr>
          <w:sz w:val="23"/>
          <w:szCs w:val="23"/>
        </w:rPr>
        <w:t xml:space="preserve"> </w:t>
      </w:r>
      <w:r w:rsidR="00651023">
        <w:rPr>
          <w:sz w:val="23"/>
          <w:szCs w:val="23"/>
        </w:rPr>
        <w:t xml:space="preserve">după alin </w:t>
      </w:r>
      <w:r w:rsidR="00CF4466">
        <w:rPr>
          <w:sz w:val="23"/>
          <w:szCs w:val="23"/>
        </w:rPr>
        <w:t>(</w:t>
      </w:r>
      <w:r w:rsidR="00AD0D65">
        <w:rPr>
          <w:sz w:val="23"/>
          <w:szCs w:val="23"/>
        </w:rPr>
        <w:t>2</w:t>
      </w:r>
      <w:r w:rsidR="00CF4466">
        <w:rPr>
          <w:sz w:val="23"/>
          <w:szCs w:val="23"/>
        </w:rPr>
        <w:t>) a</w:t>
      </w:r>
      <w:r w:rsidR="00D271BC">
        <w:rPr>
          <w:sz w:val="23"/>
          <w:szCs w:val="23"/>
        </w:rPr>
        <w:t xml:space="preserve"> unui</w:t>
      </w:r>
      <w:r w:rsidR="00932E08">
        <w:rPr>
          <w:sz w:val="23"/>
          <w:szCs w:val="23"/>
        </w:rPr>
        <w:t xml:space="preserve"> nou </w:t>
      </w:r>
      <w:r w:rsidR="00D271BC">
        <w:rPr>
          <w:sz w:val="23"/>
          <w:szCs w:val="23"/>
        </w:rPr>
        <w:t xml:space="preserve"> aliniat</w:t>
      </w:r>
      <w:r w:rsidR="00CF4466">
        <w:rPr>
          <w:sz w:val="23"/>
          <w:szCs w:val="23"/>
        </w:rPr>
        <w:t>,</w:t>
      </w:r>
      <w:r w:rsidR="00932E08">
        <w:rPr>
          <w:sz w:val="23"/>
          <w:szCs w:val="23"/>
        </w:rPr>
        <w:t xml:space="preserve"> </w:t>
      </w:r>
      <w:r w:rsidR="00651023">
        <w:rPr>
          <w:sz w:val="23"/>
          <w:szCs w:val="23"/>
        </w:rPr>
        <w:t xml:space="preserve"> alin (</w:t>
      </w:r>
      <w:r w:rsidR="00AD0D65">
        <w:rPr>
          <w:sz w:val="23"/>
          <w:szCs w:val="23"/>
        </w:rPr>
        <w:t>2</w:t>
      </w:r>
      <w:r w:rsidR="00651023" w:rsidRPr="00934BCC">
        <w:rPr>
          <w:sz w:val="20"/>
          <w:szCs w:val="23"/>
          <w:vertAlign w:val="superscript"/>
        </w:rPr>
        <w:t>1</w:t>
      </w:r>
      <w:r w:rsidR="00934BCC">
        <w:rPr>
          <w:sz w:val="20"/>
          <w:szCs w:val="23"/>
        </w:rPr>
        <w:t xml:space="preserve">) care va avea </w:t>
      </w:r>
      <w:r w:rsidR="00934BCC" w:rsidRPr="00CF4466">
        <w:rPr>
          <w:sz w:val="23"/>
          <w:szCs w:val="23"/>
        </w:rPr>
        <w:t>următorul cuprins:</w:t>
      </w:r>
    </w:p>
    <w:p w:rsidR="007F7134" w:rsidRDefault="00934BCC" w:rsidP="007F713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(</w:t>
      </w:r>
      <w:r w:rsidR="00AD0D65">
        <w:rPr>
          <w:sz w:val="23"/>
          <w:szCs w:val="23"/>
        </w:rPr>
        <w:t>2</w:t>
      </w:r>
      <w:r w:rsidRPr="00934BCC">
        <w:rPr>
          <w:sz w:val="20"/>
          <w:szCs w:val="23"/>
          <w:vertAlign w:val="superscript"/>
        </w:rPr>
        <w:t>1</w:t>
      </w:r>
      <w:r>
        <w:rPr>
          <w:sz w:val="20"/>
          <w:szCs w:val="23"/>
        </w:rPr>
        <w:t xml:space="preserve">) </w:t>
      </w:r>
      <w:r w:rsidR="00CF235B">
        <w:rPr>
          <w:sz w:val="23"/>
          <w:szCs w:val="23"/>
          <w:lang w:val="en-US"/>
        </w:rPr>
        <w:t xml:space="preserve"> Se </w:t>
      </w:r>
      <w:proofErr w:type="spellStart"/>
      <w:r w:rsidR="00CF235B">
        <w:rPr>
          <w:sz w:val="23"/>
          <w:szCs w:val="23"/>
          <w:lang w:val="en-US"/>
        </w:rPr>
        <w:t>insti</w:t>
      </w:r>
      <w:r w:rsidR="00B95AA2">
        <w:rPr>
          <w:sz w:val="23"/>
          <w:szCs w:val="23"/>
          <w:lang w:val="en-US"/>
        </w:rPr>
        <w:t>t</w:t>
      </w:r>
      <w:r w:rsidR="00CF235B">
        <w:rPr>
          <w:sz w:val="23"/>
          <w:szCs w:val="23"/>
          <w:lang w:val="en-US"/>
        </w:rPr>
        <w:t>uie</w:t>
      </w:r>
      <w:proofErr w:type="spellEnd"/>
      <w:r w:rsidR="00CF235B">
        <w:rPr>
          <w:sz w:val="23"/>
          <w:szCs w:val="23"/>
          <w:lang w:val="en-US"/>
        </w:rPr>
        <w:t xml:space="preserve"> </w:t>
      </w:r>
      <w:r w:rsidR="00A65E1E">
        <w:rPr>
          <w:sz w:val="23"/>
          <w:szCs w:val="23"/>
        </w:rPr>
        <w:t xml:space="preserve"> tax</w:t>
      </w:r>
      <w:r w:rsidR="00CF235B">
        <w:rPr>
          <w:sz w:val="23"/>
          <w:szCs w:val="23"/>
        </w:rPr>
        <w:t>a</w:t>
      </w:r>
      <w:r w:rsidR="007F7134">
        <w:rPr>
          <w:sz w:val="23"/>
          <w:szCs w:val="23"/>
        </w:rPr>
        <w:t xml:space="preserve"> de acces la</w:t>
      </w:r>
      <w:r w:rsidR="00CF235B">
        <w:rPr>
          <w:sz w:val="23"/>
          <w:szCs w:val="23"/>
        </w:rPr>
        <w:t xml:space="preserve"> sediul </w:t>
      </w:r>
      <w:r w:rsidR="007F7134">
        <w:rPr>
          <w:sz w:val="23"/>
          <w:szCs w:val="23"/>
        </w:rPr>
        <w:t xml:space="preserve"> societățil</w:t>
      </w:r>
      <w:r w:rsidR="00A31334">
        <w:rPr>
          <w:sz w:val="23"/>
          <w:szCs w:val="23"/>
        </w:rPr>
        <w:t>or</w:t>
      </w:r>
      <w:r w:rsidR="007F7134">
        <w:rPr>
          <w:sz w:val="23"/>
          <w:szCs w:val="23"/>
        </w:rPr>
        <w:t xml:space="preserve"> comerciale </w:t>
      </w:r>
      <w:r w:rsidR="00CF235B">
        <w:rPr>
          <w:sz w:val="23"/>
          <w:szCs w:val="23"/>
        </w:rPr>
        <w:t>de</w:t>
      </w:r>
      <w:r w:rsidR="007F7134">
        <w:rPr>
          <w:sz w:val="23"/>
          <w:szCs w:val="23"/>
        </w:rPr>
        <w:t xml:space="preserve"> pe str. Păiș David, Lunca Oltului, Constructorilor și str. Armata Română între str. Constructorilor și str. Recoltei</w:t>
      </w:r>
      <w:r w:rsidR="00CF235B">
        <w:rPr>
          <w:sz w:val="23"/>
          <w:szCs w:val="23"/>
        </w:rPr>
        <w:t xml:space="preserve"> după cum urmează:</w:t>
      </w:r>
    </w:p>
    <w:p w:rsidR="002A09EA" w:rsidRDefault="002A09EA" w:rsidP="007F7134">
      <w:pPr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Y="17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1134"/>
        <w:gridCol w:w="1276"/>
        <w:gridCol w:w="1276"/>
        <w:gridCol w:w="1559"/>
      </w:tblGrid>
      <w:tr w:rsidR="002A09EA" w:rsidRPr="008E27E8" w:rsidTr="005E6BEE">
        <w:trPr>
          <w:trHeight w:val="176"/>
        </w:trPr>
        <w:tc>
          <w:tcPr>
            <w:tcW w:w="3510" w:type="dxa"/>
          </w:tcPr>
          <w:p w:rsidR="002A09EA" w:rsidRPr="008E27E8" w:rsidRDefault="002A09EA" w:rsidP="005E6BEE">
            <w:pPr>
              <w:ind w:left="-180" w:hanging="1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tranșe tonaj</w:t>
            </w:r>
          </w:p>
        </w:tc>
        <w:tc>
          <w:tcPr>
            <w:tcW w:w="1134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lună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luni</w:t>
            </w:r>
          </w:p>
        </w:tc>
        <w:tc>
          <w:tcPr>
            <w:tcW w:w="1559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luni</w:t>
            </w:r>
          </w:p>
        </w:tc>
      </w:tr>
      <w:tr w:rsidR="002A09EA" w:rsidRPr="008E27E8" w:rsidTr="005E6BEE">
        <w:trPr>
          <w:trHeight w:val="241"/>
        </w:trPr>
        <w:tc>
          <w:tcPr>
            <w:tcW w:w="3510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peste </w:t>
            </w:r>
            <w:r w:rsidRPr="008E27E8">
              <w:rPr>
                <w:sz w:val="23"/>
                <w:szCs w:val="23"/>
              </w:rPr>
              <w:t xml:space="preserve">3,5 tone </w:t>
            </w:r>
            <w:r>
              <w:rPr>
                <w:sz w:val="23"/>
                <w:szCs w:val="23"/>
              </w:rPr>
              <w:t xml:space="preserve">–până la </w:t>
            </w:r>
            <w:r w:rsidRPr="008E27E8">
              <w:rPr>
                <w:sz w:val="23"/>
                <w:szCs w:val="23"/>
              </w:rPr>
              <w:t>7,5 tone</w:t>
            </w:r>
          </w:p>
        </w:tc>
        <w:tc>
          <w:tcPr>
            <w:tcW w:w="1134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 xml:space="preserve">20 </w:t>
            </w:r>
            <w:r>
              <w:rPr>
                <w:sz w:val="23"/>
                <w:szCs w:val="23"/>
              </w:rPr>
              <w:t>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100 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 lei</w:t>
            </w:r>
          </w:p>
        </w:tc>
        <w:tc>
          <w:tcPr>
            <w:tcW w:w="1559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 lei</w:t>
            </w:r>
          </w:p>
        </w:tc>
      </w:tr>
      <w:tr w:rsidR="002A09EA" w:rsidRPr="008E27E8" w:rsidTr="005E6BEE">
        <w:trPr>
          <w:trHeight w:val="142"/>
        </w:trPr>
        <w:tc>
          <w:tcPr>
            <w:tcW w:w="3510" w:type="dxa"/>
          </w:tcPr>
          <w:p w:rsidR="002A09EA" w:rsidRPr="008E27E8" w:rsidRDefault="002A09EA" w:rsidP="005E6BEE">
            <w:pPr>
              <w:ind w:left="180" w:hanging="37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peste </w:t>
            </w:r>
            <w:r w:rsidRPr="008E27E8">
              <w:rPr>
                <w:sz w:val="23"/>
                <w:szCs w:val="23"/>
              </w:rPr>
              <w:t>7,5</w:t>
            </w:r>
            <w:r>
              <w:rPr>
                <w:sz w:val="23"/>
                <w:szCs w:val="23"/>
              </w:rPr>
              <w:t>0</w:t>
            </w:r>
            <w:r w:rsidRPr="008E27E8">
              <w:rPr>
                <w:sz w:val="23"/>
                <w:szCs w:val="23"/>
              </w:rPr>
              <w:t xml:space="preserve"> tone </w:t>
            </w:r>
            <w:r>
              <w:rPr>
                <w:sz w:val="23"/>
                <w:szCs w:val="23"/>
              </w:rPr>
              <w:t>–</w:t>
            </w:r>
            <w:r w:rsidRPr="008E27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până la </w:t>
            </w:r>
            <w:r w:rsidRPr="008E27E8">
              <w:rPr>
                <w:sz w:val="23"/>
                <w:szCs w:val="23"/>
              </w:rPr>
              <w:t>16,00 tone</w:t>
            </w:r>
          </w:p>
        </w:tc>
        <w:tc>
          <w:tcPr>
            <w:tcW w:w="1134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50 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200 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1000 lei</w:t>
            </w:r>
          </w:p>
        </w:tc>
        <w:tc>
          <w:tcPr>
            <w:tcW w:w="1559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1800 lei</w:t>
            </w:r>
          </w:p>
        </w:tc>
      </w:tr>
      <w:tr w:rsidR="002A09EA" w:rsidRPr="008E27E8" w:rsidTr="005E6BEE">
        <w:trPr>
          <w:trHeight w:val="207"/>
        </w:trPr>
        <w:tc>
          <w:tcPr>
            <w:tcW w:w="3510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peste 16,00 tone</w:t>
            </w:r>
          </w:p>
        </w:tc>
        <w:tc>
          <w:tcPr>
            <w:tcW w:w="1134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60 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 w:rsidRPr="008E27E8">
              <w:rPr>
                <w:sz w:val="23"/>
                <w:szCs w:val="23"/>
              </w:rPr>
              <w:t>250 lei</w:t>
            </w:r>
          </w:p>
        </w:tc>
        <w:tc>
          <w:tcPr>
            <w:tcW w:w="1276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1200 lei</w:t>
            </w:r>
          </w:p>
        </w:tc>
        <w:tc>
          <w:tcPr>
            <w:tcW w:w="1559" w:type="dxa"/>
          </w:tcPr>
          <w:p w:rsidR="002A09EA" w:rsidRPr="008E27E8" w:rsidRDefault="002A09EA" w:rsidP="005E6BEE">
            <w:pPr>
              <w:ind w:left="180" w:hanging="37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2200 lei</w:t>
            </w:r>
          </w:p>
        </w:tc>
      </w:tr>
    </w:tbl>
    <w:p w:rsidR="002A09EA" w:rsidRDefault="002A09EA" w:rsidP="007F7134">
      <w:pPr>
        <w:jc w:val="both"/>
        <w:rPr>
          <w:sz w:val="23"/>
          <w:szCs w:val="23"/>
        </w:rPr>
      </w:pPr>
    </w:p>
    <w:p w:rsidR="008E27E8" w:rsidRDefault="008E27E8" w:rsidP="002A09EA">
      <w:pPr>
        <w:jc w:val="both"/>
        <w:rPr>
          <w:sz w:val="23"/>
          <w:szCs w:val="23"/>
        </w:rPr>
      </w:pPr>
    </w:p>
    <w:p w:rsidR="00982BDD" w:rsidRPr="00982BDD" w:rsidRDefault="00982BDD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82BDD" w:rsidRPr="00982BDD" w:rsidRDefault="00982BDD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2B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</w:t>
      </w:r>
    </w:p>
    <w:p w:rsidR="00982BDD" w:rsidRPr="00907636" w:rsidRDefault="00A65E1E" w:rsidP="003F6731">
      <w:pPr>
        <w:spacing w:line="259" w:lineRule="auto"/>
        <w:rPr>
          <w:rFonts w:asciiTheme="minorHAnsi" w:eastAsiaTheme="minorHAnsi" w:hAnsiTheme="minorHAnsi" w:cstheme="minorBidi"/>
          <w:lang w:eastAsia="en-US"/>
        </w:rPr>
      </w:pPr>
      <w:r w:rsidRPr="00907636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</w:t>
      </w:r>
      <w:r w:rsidR="008E27E8" w:rsidRPr="00907636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</w:t>
      </w:r>
      <w:r w:rsidR="00982BDD" w:rsidRPr="00907636">
        <w:rPr>
          <w:rFonts w:asciiTheme="minorHAnsi" w:eastAsiaTheme="minorHAnsi" w:hAnsiTheme="minorHAnsi" w:cstheme="minorBidi"/>
          <w:lang w:eastAsia="en-US"/>
        </w:rPr>
        <w:t>Director</w:t>
      </w:r>
      <w:r w:rsidR="008E27E8" w:rsidRPr="00907636">
        <w:rPr>
          <w:rFonts w:asciiTheme="minorHAnsi" w:eastAsiaTheme="minorHAnsi" w:hAnsiTheme="minorHAnsi" w:cstheme="minorBidi"/>
          <w:lang w:eastAsia="en-US"/>
        </w:rPr>
        <w:t xml:space="preserve"> </w:t>
      </w:r>
      <w:r w:rsidR="00982BDD" w:rsidRPr="00907636">
        <w:rPr>
          <w:rFonts w:asciiTheme="minorHAnsi" w:eastAsiaTheme="minorHAnsi" w:hAnsiTheme="minorHAnsi" w:cstheme="minorBidi"/>
          <w:lang w:eastAsia="en-US"/>
        </w:rPr>
        <w:t xml:space="preserve"> </w:t>
      </w:r>
    </w:p>
    <w:p w:rsidR="008E27E8" w:rsidRPr="00907636" w:rsidRDefault="008E27E8" w:rsidP="00982BDD">
      <w:pPr>
        <w:spacing w:after="160"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907636">
        <w:rPr>
          <w:rFonts w:asciiTheme="minorHAnsi" w:eastAsiaTheme="minorHAnsi" w:hAnsiTheme="minorHAnsi" w:cstheme="minorBidi"/>
          <w:b/>
          <w:lang w:eastAsia="en-US"/>
        </w:rPr>
        <w:t xml:space="preserve">                                                                                                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 xml:space="preserve">          Bir</w:t>
      </w:r>
      <w:r w:rsidR="003F6731" w:rsidRPr="00907636">
        <w:rPr>
          <w:rFonts w:asciiTheme="minorHAnsi" w:eastAsiaTheme="minorHAnsi" w:hAnsiTheme="minorHAnsi" w:cstheme="minorBidi"/>
          <w:b/>
          <w:lang w:val="hu-HU" w:eastAsia="en-US"/>
        </w:rPr>
        <w:t>ó</w:t>
      </w:r>
      <w:r w:rsidRPr="00907636">
        <w:rPr>
          <w:rFonts w:asciiTheme="minorHAnsi" w:eastAsiaTheme="minorHAnsi" w:hAnsiTheme="minorHAnsi" w:cstheme="minorBidi"/>
          <w:b/>
          <w:lang w:eastAsia="en-US"/>
        </w:rPr>
        <w:t xml:space="preserve"> L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>á</w:t>
      </w:r>
      <w:r w:rsidRPr="00907636">
        <w:rPr>
          <w:rFonts w:asciiTheme="minorHAnsi" w:eastAsiaTheme="minorHAnsi" w:hAnsiTheme="minorHAnsi" w:cstheme="minorBidi"/>
          <w:b/>
          <w:lang w:eastAsia="en-US"/>
        </w:rPr>
        <w:t>szl</w:t>
      </w:r>
      <w:r w:rsidR="003F6731" w:rsidRPr="00907636">
        <w:rPr>
          <w:rFonts w:asciiTheme="minorHAnsi" w:eastAsiaTheme="minorHAnsi" w:hAnsiTheme="minorHAnsi" w:cstheme="minorBidi"/>
          <w:b/>
          <w:lang w:eastAsia="en-US"/>
        </w:rPr>
        <w:t>ó</w:t>
      </w:r>
    </w:p>
    <w:p w:rsidR="00715F28" w:rsidRDefault="00715F28"/>
    <w:p w:rsidR="008837E6" w:rsidRDefault="008837E6"/>
    <w:p w:rsidR="008837E6" w:rsidRDefault="008837E6"/>
    <w:p w:rsidR="008837E6" w:rsidRDefault="008837E6"/>
    <w:p w:rsidR="008837E6" w:rsidRDefault="008837E6"/>
    <w:p w:rsidR="00907636" w:rsidRDefault="00907636"/>
    <w:p w:rsidR="00907636" w:rsidRDefault="00907636"/>
    <w:p w:rsidR="008837E6" w:rsidRDefault="008837E6"/>
    <w:p w:rsidR="008837E6" w:rsidRDefault="008837E6">
      <w:r>
        <w:t>Sfântu Gheorghe</w:t>
      </w:r>
    </w:p>
    <w:p w:rsidR="00B90A6D" w:rsidRDefault="002A54D7">
      <w:r>
        <w:t>05.11.2024</w:t>
      </w:r>
    </w:p>
    <w:sectPr w:rsidR="00B90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C4BCC"/>
    <w:multiLevelType w:val="hybridMultilevel"/>
    <w:tmpl w:val="A4980A06"/>
    <w:lvl w:ilvl="0" w:tplc="9F8A1CF0">
      <w:start w:val="1"/>
      <w:numFmt w:val="lowerLetter"/>
      <w:lvlText w:val="%1)"/>
      <w:lvlJc w:val="left"/>
      <w:pPr>
        <w:ind w:left="588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92"/>
    <w:rsid w:val="00060385"/>
    <w:rsid w:val="000B3654"/>
    <w:rsid w:val="00241FDF"/>
    <w:rsid w:val="00246AE5"/>
    <w:rsid w:val="002A09EA"/>
    <w:rsid w:val="002A54D7"/>
    <w:rsid w:val="00325126"/>
    <w:rsid w:val="00360444"/>
    <w:rsid w:val="003C178D"/>
    <w:rsid w:val="003E7521"/>
    <w:rsid w:val="003F6731"/>
    <w:rsid w:val="00455343"/>
    <w:rsid w:val="00464F7E"/>
    <w:rsid w:val="00526FBB"/>
    <w:rsid w:val="005D15F8"/>
    <w:rsid w:val="00635086"/>
    <w:rsid w:val="00651023"/>
    <w:rsid w:val="00665DB1"/>
    <w:rsid w:val="006D019B"/>
    <w:rsid w:val="006F1979"/>
    <w:rsid w:val="00715F28"/>
    <w:rsid w:val="00742C3F"/>
    <w:rsid w:val="00786875"/>
    <w:rsid w:val="007C3E00"/>
    <w:rsid w:val="007F4692"/>
    <w:rsid w:val="007F7134"/>
    <w:rsid w:val="008837E6"/>
    <w:rsid w:val="008A46A6"/>
    <w:rsid w:val="008D4C3A"/>
    <w:rsid w:val="008E27E8"/>
    <w:rsid w:val="00907636"/>
    <w:rsid w:val="00932E08"/>
    <w:rsid w:val="00934BCC"/>
    <w:rsid w:val="00982BDD"/>
    <w:rsid w:val="009A652D"/>
    <w:rsid w:val="009D2401"/>
    <w:rsid w:val="00A14CC1"/>
    <w:rsid w:val="00A31334"/>
    <w:rsid w:val="00A65E1E"/>
    <w:rsid w:val="00A77601"/>
    <w:rsid w:val="00AD0D65"/>
    <w:rsid w:val="00B90A6D"/>
    <w:rsid w:val="00B95AA2"/>
    <w:rsid w:val="00CF235B"/>
    <w:rsid w:val="00CF4466"/>
    <w:rsid w:val="00CF77CC"/>
    <w:rsid w:val="00D271BC"/>
    <w:rsid w:val="00D80662"/>
    <w:rsid w:val="00F6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5480"/>
  <w15:chartTrackingRefBased/>
  <w15:docId w15:val="{C4762B99-1EE9-476D-95F3-20CFE179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E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C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C3F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User</cp:lastModifiedBy>
  <cp:revision>22</cp:revision>
  <cp:lastPrinted>2024-11-04T13:14:00Z</cp:lastPrinted>
  <dcterms:created xsi:type="dcterms:W3CDTF">2024-10-31T11:50:00Z</dcterms:created>
  <dcterms:modified xsi:type="dcterms:W3CDTF">2024-11-05T07:32:00Z</dcterms:modified>
</cp:coreProperties>
</file>