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50" w:right="150" w:hanging="0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Nr. 18635/27.03.2018</w:t>
      </w:r>
      <w:r/>
    </w:p>
    <w:p>
      <w:pPr>
        <w:pStyle w:val="Normal"/>
        <w:spacing w:lineRule="auto" w:line="240" w:before="0" w:after="0"/>
        <w:ind w:left="150" w:right="150" w:hanging="0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hanging="0"/>
        <w:jc w:val="center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PROIECT DE HOTĂRÂRE</w:t>
      </w:r>
      <w:r/>
    </w:p>
    <w:p>
      <w:pPr>
        <w:pStyle w:val="Normal"/>
        <w:spacing w:lineRule="auto" w:line="240" w:before="0" w:after="0"/>
        <w:ind w:left="150" w:right="150" w:hanging="0"/>
        <w:jc w:val="center"/>
        <w:rPr>
          <w:sz w:val="23"/>
          <w:b/>
          <w:sz w:val="23"/>
          <w:b/>
          <w:szCs w:val="23"/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 xml:space="preserve">privind aprobarea </w:t>
      </w:r>
      <w:r>
        <w:rPr>
          <w:rFonts w:ascii="Times New Roman" w:hAnsi="Times New Roman"/>
          <w:b/>
          <w:color w:val="000000"/>
          <w:sz w:val="23"/>
          <w:szCs w:val="23"/>
        </w:rPr>
        <w:t>modalității de gestiune a transportului public local de călători prin curse regulate în Municipiul Sfântu Gheorghe</w:t>
      </w:r>
      <w:r/>
    </w:p>
    <w:p>
      <w:pPr>
        <w:pStyle w:val="Normal"/>
        <w:spacing w:lineRule="auto" w:line="240" w:before="0" w:after="0"/>
        <w:ind w:left="150" w:right="150" w:hanging="0"/>
        <w:jc w:val="center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firstLine="558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Consiliul Local al Municipiului Sfântu Gheorghe, în şedinţă ordinară;</w:t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r>
        <w:rPr>
          <w:rFonts w:ascii="Times New Roman" w:hAnsi="Times New Roman"/>
          <w:bCs/>
          <w:color w:val="000000"/>
          <w:sz w:val="23"/>
          <w:szCs w:val="23"/>
          <w:lang w:eastAsia="ro-RO"/>
        </w:rPr>
        <w:t>Având în vedere Expunerea de motive nr. 18633/27.03.2018 a viceprimarului Municipiului Sfântu Gheorghe, dl. Toth-Birtan Csaba;</w:t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r>
        <w:rPr>
          <w:rFonts w:ascii="Times New Roman" w:hAnsi="Times New Roman"/>
          <w:color w:val="000000"/>
          <w:sz w:val="23"/>
          <w:szCs w:val="23"/>
          <w:lang w:eastAsia="ro-RO"/>
        </w:rPr>
        <w:t>Având în vedere Raportul de specialitate nr. 18634/27.03.2018 al Direcţiei Tehnic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e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și Monitorizare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S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ocietăți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C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omerciale și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S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ervicii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C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omunitare de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U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tilități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P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ublice din cadrul Primăriei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M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municipiului Sfântu Gheorghe;</w:t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În conformitate cu dispoziţiile art. 1 alin. (2) lit. h, art. 8 alin. (3) lit d, art. 22 alin. (2) lit. b, art. 29 alin. (2), alin. </w:t>
      </w:r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>(</w:t>
      </w:r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>5)</w:t>
      </w:r>
      <w:r>
        <w:rPr>
          <w:rFonts w:ascii="Times New Roman" w:hAnsi="Times New Roman"/>
          <w:b/>
          <w:bCs w:val="false"/>
          <w:color w:val="000000"/>
          <w:sz w:val="23"/>
          <w:szCs w:val="23"/>
          <w:lang w:eastAsia="ro-RO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alin. (6), </w:t>
      </w:r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>(13)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din Legea serviciilor comunitare de utilităţi publice nr. 51/2006 republicată, coroborat cu art. 17, art. 21 alin. (1) şi (4), </w:t>
      </w:r>
      <w:r>
        <w:rPr>
          <w:rFonts w:ascii="Times New Roman" w:hAnsi="Times New Roman"/>
          <w:color w:val="000000"/>
          <w:sz w:val="23"/>
          <w:szCs w:val="23"/>
          <w:u w:val="single"/>
          <w:lang w:eastAsia="ro-RO"/>
        </w:rPr>
        <w:t>art. 23 alin. (2),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art. 27 alin. (1), art. 28 alin. (1) lit a, art. 30 alin. (2) lit. b din Legea serviciilor de transport public local nr. 92/2007 cu modificările şi completările ulterioare, art. 10 alin. (2) şi </w:t>
      </w:r>
      <w:r>
        <w:rPr>
          <w:rFonts w:ascii="Times New Roman" w:hAnsi="Times New Roman"/>
          <w:color w:val="000000"/>
          <w:sz w:val="23"/>
          <w:szCs w:val="23"/>
          <w:u w:val="single"/>
          <w:lang w:eastAsia="ro-RO"/>
        </w:rPr>
        <w:t>art. 54 lit. b din Ordinul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Ministrului Internelor şi Reformei Administrative nr. 353/2007 pentru aprobarea Normelor de aplicare a Legii serviciilor de transport public local nr. 92/2007, cu modificările şi completările ulterioare;</w:t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bookmarkStart w:id="0" w:name="do"/>
      <w:bookmarkEnd w:id="0"/>
      <w:r>
        <w:rPr>
          <w:rStyle w:val="Do"/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>A</w:t>
      </w:r>
      <w:r>
        <w:rPr>
          <w:rStyle w:val="Do"/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vând în vedere prevederile </w:t>
      </w:r>
      <w:r>
        <w:rPr>
          <w:rStyle w:val="Do"/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Ordinului nr. 140 din 30 mai 2017 privind modalitatea de atribuire a contractelor de delegare a gestiunii serviciilor de transport public local, a </w:t>
      </w:r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Regulamentului (CE) nr. </w:t>
      </w:r>
      <w:hyperlink r:id="rId2">
        <w:r>
          <w:rPr>
            <w:rStyle w:val="InternetLink"/>
            <w:rFonts w:ascii="Times New Roman" w:hAnsi="Times New Roman"/>
            <w:b w:val="false"/>
            <w:bCs w:val="false"/>
            <w:color w:val="000000"/>
            <w:sz w:val="23"/>
            <w:szCs w:val="23"/>
            <w:lang w:eastAsia="ro-RO"/>
          </w:rPr>
          <w:t>1.370/2007</w:t>
        </w:r>
      </w:hyperlink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 al Parlamentului European şi al Consiliului din 23 octombrie 2007 privind serviciile publice de transport feroviar şi rutier de călători şi de abrogare a Regulamentelor (CEE) nr. </w:t>
      </w:r>
      <w:hyperlink r:id="rId3">
        <w:r>
          <w:rPr>
            <w:rStyle w:val="InternetLink"/>
            <w:rFonts w:ascii="Times New Roman" w:hAnsi="Times New Roman"/>
            <w:b w:val="false"/>
            <w:bCs w:val="false"/>
            <w:color w:val="000000"/>
            <w:sz w:val="23"/>
            <w:szCs w:val="23"/>
            <w:lang w:eastAsia="ro-RO"/>
          </w:rPr>
          <w:t>1.191/69</w:t>
        </w:r>
      </w:hyperlink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 şi nr. </w:t>
      </w:r>
      <w:hyperlink r:id="rId4">
        <w:r>
          <w:rPr>
            <w:rStyle w:val="InternetLink"/>
            <w:rFonts w:ascii="Times New Roman" w:hAnsi="Times New Roman"/>
            <w:b w:val="false"/>
            <w:bCs w:val="false"/>
            <w:color w:val="000000"/>
            <w:sz w:val="23"/>
            <w:szCs w:val="23"/>
            <w:lang w:eastAsia="ro-RO"/>
          </w:rPr>
          <w:t>1.107/70</w:t>
        </w:r>
      </w:hyperlink>
      <w:r>
        <w:rPr>
          <w:rFonts w:ascii="Times New Roman" w:hAnsi="Times New Roman"/>
          <w:b w:val="false"/>
          <w:bCs w:val="false"/>
          <w:color w:val="000000"/>
          <w:sz w:val="23"/>
          <w:szCs w:val="23"/>
          <w:lang w:eastAsia="ro-RO"/>
        </w:rPr>
        <w:t xml:space="preserve"> ale Consiliului;</w:t>
      </w:r>
      <w:r/>
    </w:p>
    <w:p>
      <w:pPr>
        <w:pStyle w:val="TextBody"/>
        <w:ind w:left="142" w:right="282" w:hanging="0"/>
      </w:pPr>
      <w:r>
        <w:rPr>
          <w:sz w:val="23"/>
          <w:szCs w:val="23"/>
          <w:lang w:val="hu-HU"/>
        </w:rPr>
        <w:tab/>
        <w:t>Având în vedere parcurgerea procedurii prevăzut</w:t>
      </w:r>
      <w:r>
        <w:rPr>
          <w:sz w:val="23"/>
          <w:szCs w:val="23"/>
          <w:lang w:val="hu-HU"/>
        </w:rPr>
        <w:t>e</w:t>
      </w:r>
      <w:r>
        <w:rPr>
          <w:sz w:val="23"/>
          <w:szCs w:val="23"/>
          <w:lang w:val="hu-HU"/>
        </w:rPr>
        <w:t xml:space="preserve"> la art. 7 din Legea nr. 52/2003 privind transparenţa decizională în administraţia publică, republicată;</w:t>
      </w:r>
      <w:r/>
    </w:p>
    <w:p>
      <w:pPr>
        <w:pStyle w:val="Normal"/>
        <w:spacing w:lineRule="auto" w:line="240" w:before="0" w:after="0"/>
        <w:ind w:left="150" w:right="150" w:firstLine="558"/>
        <w:jc w:val="both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  <w:t>În conformitate cu art. 36 alin. (2) lit. d, alin. (5) lit. a, şi alin. (6) lit a pct. 14 din Legea nr. 215/2001 privind administraţia publică locală, republicată, cu modificările şi completările ulterioare;</w:t>
      </w:r>
      <w:r/>
    </w:p>
    <w:p>
      <w:pPr>
        <w:pStyle w:val="Normal"/>
        <w:spacing w:lineRule="auto" w:line="240" w:before="0" w:after="0"/>
        <w:ind w:left="150" w:right="150" w:firstLine="558"/>
        <w:jc w:val="both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  <w:t>În temeiul art. 45 alin. (3) şi art. 115 alin. (1) lit. b din Legea nr. 215/2001 privind administraţia publică locală, republicată, cu modificările şi completările ulterioare;</w:t>
      </w:r>
      <w:r/>
    </w:p>
    <w:p>
      <w:pPr>
        <w:pStyle w:val="Normal"/>
        <w:spacing w:lineRule="auto" w:line="240" w:before="0" w:after="0"/>
        <w:ind w:left="150" w:right="150" w:firstLine="558"/>
        <w:jc w:val="both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firstLine="558"/>
        <w:jc w:val="center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HOTĂRĂŞTE</w:t>
      </w:r>
      <w:r/>
    </w:p>
    <w:p>
      <w:pPr>
        <w:pStyle w:val="Normal"/>
        <w:spacing w:lineRule="auto" w:line="240" w:before="0" w:after="0"/>
        <w:ind w:left="150" w:right="150" w:hanging="0"/>
        <w:rPr>
          <w:sz w:val="23"/>
          <w:b/>
          <w:sz w:val="23"/>
          <w:b/>
          <w:szCs w:val="23"/>
          <w:bCs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ART. 1.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- Se aprobă Studiul de oportunitate elaborat în vederea </w:t>
      </w:r>
      <w:r>
        <w:rPr>
          <w:rFonts w:ascii="Times New Roman" w:hAnsi="Times New Roman"/>
          <w:color w:val="000000"/>
          <w:sz w:val="23"/>
          <w:szCs w:val="23"/>
          <w:u w:val="none"/>
          <w:lang w:eastAsia="ro-RO"/>
        </w:rPr>
        <w:t>stabilirii modalității de gestiun</w:t>
      </w:r>
      <w:r>
        <w:rPr>
          <w:rFonts w:ascii="Times New Roman" w:hAnsi="Times New Roman"/>
          <w:color w:val="000000"/>
          <w:sz w:val="23"/>
          <w:szCs w:val="23"/>
          <w:u w:val="none"/>
          <w:lang w:eastAsia="ro-RO"/>
        </w:rPr>
        <w:t>e a</w:t>
      </w:r>
      <w:r>
        <w:rPr>
          <w:rFonts w:ascii="Times New Roman" w:hAnsi="Times New Roman"/>
          <w:color w:val="000000"/>
          <w:sz w:val="23"/>
          <w:szCs w:val="23"/>
          <w:u w:val="none"/>
          <w:lang w:eastAsia="ro-RO"/>
        </w:rPr>
        <w:t xml:space="preserve"> serviciului de transport public local de călători prin curse regulate 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>în Municipiul Sfântu Gheorghe, prin atribuire directă, potrivit anexei la prezenta hotărâre din care face parte integrantă.</w:t>
      </w:r>
      <w:r/>
    </w:p>
    <w:p>
      <w:pPr>
        <w:pStyle w:val="Normal"/>
        <w:spacing w:lineRule="auto" w:line="240" w:before="0" w:after="0"/>
        <w:ind w:left="150" w:right="150" w:firstLine="558"/>
        <w:jc w:val="both"/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 xml:space="preserve">ART. 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2</w:t>
      </w: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.</w:t>
      </w:r>
      <w:r>
        <w:rPr>
          <w:rFonts w:ascii="Times New Roman" w:hAnsi="Times New Roman"/>
          <w:color w:val="000000"/>
          <w:sz w:val="23"/>
          <w:szCs w:val="23"/>
          <w:lang w:eastAsia="ro-RO"/>
        </w:rPr>
        <w:t xml:space="preserve"> - Cu îndeplinirea prevederilor prezentei hotărâri se încredinţează Direcţia Tehnică și Monitorizare societăți comerciale și servicii comunitare de utilități publice, Direcţia Patrimoniu, Direcţia Economică din cadrul Primăriei municipiului Sfântu Gheorghe şi MULTI-TRANS S.A. Sfântu Gheorghe.</w:t>
      </w:r>
      <w:r/>
    </w:p>
    <w:p>
      <w:pPr>
        <w:pStyle w:val="Normal"/>
        <w:spacing w:lineRule="auto" w:line="240" w:before="0" w:after="0"/>
        <w:ind w:left="150" w:right="150" w:hanging="0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hanging="0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  <w:tab/>
        <w:t>Sfântu Gheorghe, la ____________________.</w:t>
      </w:r>
      <w:r/>
    </w:p>
    <w:p>
      <w:pPr>
        <w:pStyle w:val="Normal"/>
        <w:spacing w:lineRule="auto" w:line="240" w:before="0" w:after="0"/>
        <w:ind w:left="150" w:right="150" w:hanging="0"/>
        <w:rPr>
          <w:sz w:val="23"/>
          <w:sz w:val="23"/>
          <w:szCs w:val="23"/>
          <w:rFonts w:ascii="Times New Roman" w:hAnsi="Times New Roman"/>
          <w:color w:val="000000"/>
          <w:lang w:eastAsia="ro-RO"/>
        </w:rPr>
      </w:pPr>
      <w:r>
        <w:rPr>
          <w:rFonts w:ascii="Times New Roman" w:hAnsi="Times New Roman"/>
          <w:color w:val="000000"/>
          <w:sz w:val="23"/>
          <w:szCs w:val="23"/>
          <w:lang w:eastAsia="ro-RO"/>
        </w:rPr>
      </w:r>
      <w:r/>
    </w:p>
    <w:p>
      <w:pPr>
        <w:pStyle w:val="Normal"/>
        <w:spacing w:lineRule="auto" w:line="240" w:before="0" w:after="0"/>
        <w:ind w:left="150" w:right="150" w:hanging="0"/>
      </w:pPr>
      <w:r>
        <w:rPr>
          <w:rFonts w:ascii="Times New Roman" w:hAnsi="Times New Roman"/>
          <w:b/>
          <w:bCs/>
          <w:color w:val="000000"/>
          <w:sz w:val="23"/>
          <w:szCs w:val="23"/>
          <w:lang w:eastAsia="ro-RO"/>
        </w:rPr>
        <w:t>PREŞEDINTE DE ŞEDINŢĂ</w:t>
      </w:r>
      <w:r/>
    </w:p>
    <w:sectPr>
      <w:type w:val="nextPage"/>
      <w:pgSz w:w="11906" w:h="16838"/>
      <w:pgMar w:left="1701" w:right="1418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o-RO" w:eastAsia="ro-RO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locked="1" w:name="Normal"/>
    <w:lsdException w:qFormat="1" w:semiHidden="0" w:unhideWhenUsed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semiHidden="0" w:unhideWhenUsed="0" w:uiPriority="0" w:locked="1" w:name="toc 1"/>
    <w:lsdException w:semiHidden="0" w:unhideWhenUsed="0" w:uiPriority="0" w:locked="1" w:name="toc 2"/>
    <w:lsdException w:semiHidden="0" w:unhideWhenUsed="0" w:uiPriority="0" w:locked="1" w:name="toc 3"/>
    <w:lsdException w:semiHidden="0" w:unhideWhenUsed="0" w:uiPriority="0" w:locked="1" w:name="toc 4"/>
    <w:lsdException w:semiHidden="0" w:unhideWhenUsed="0" w:uiPriority="0" w:locked="1" w:name="toc 5"/>
    <w:lsdException w:semiHidden="0" w:unhideWhenUsed="0" w:uiPriority="0" w:locked="1" w:name="toc 6"/>
    <w:lsdException w:semiHidden="0" w:unhideWhenUsed="0" w:uiPriority="0" w:locked="1" w:name="toc 7"/>
    <w:lsdException w:semiHidden="0" w:unhideWhenUsed="0" w:uiPriority="0" w:locked="1" w:name="toc 8"/>
    <w:lsdException w:semiHidden="0" w:unhideWhenUsed="0" w:uiPriority="0" w:locked="1" w:name="toc 9"/>
    <w:lsdException w:qFormat="1" w:uiPriority="0" w:locked="1" w:name="caption"/>
    <w:lsdException w:qFormat="1" w:semiHidden="0" w:unhideWhenUsed="0" w:uiPriority="0" w:locked="1" w:name="Title"/>
    <w:lsdException w:semiHidden="0" w:unhideWhenUsed="0" w:uiPriority="0" w:locked="1" w:name="Default Paragraph Font"/>
    <w:lsdException w:qFormat="1" w:semiHidden="0" w:unhideWhenUsed="0" w:uiPriority="0" w:locked="1" w:name="Subtitle"/>
    <w:lsdException w:qFormat="1" w:semiHidden="0" w:unhideWhenUsed="0" w:uiPriority="0" w:locked="1" w:name="Strong"/>
    <w:lsdException w:qFormat="1" w:semiHidden="0" w:unhideWhenUsed="0" w:uiPriority="0" w:locked="1" w:name="Emphasis"/>
    <w:lsdException w:semiHidden="0" w:unhideWhenUsed="0" w:uiPriority="0" w:locked="1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070b8"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Times New Roman"/>
      <w:color w:val="auto"/>
      <w:sz w:val="22"/>
      <w:szCs w:val="22"/>
      <w:lang w:eastAsia="en-US" w:val="ro-RO" w:bidi="ar-SA"/>
    </w:rPr>
  </w:style>
  <w:style w:type="character" w:styleId="DefaultParagraphFont" w:default="1">
    <w:name w:val="Default Paragraph Font"/>
    <w:uiPriority w:val="99"/>
    <w:semiHidden/>
    <w:rPr/>
  </w:style>
  <w:style w:type="character" w:styleId="Strong">
    <w:name w:val="Strong"/>
    <w:basedOn w:val="DefaultParagraphFont"/>
    <w:uiPriority w:val="99"/>
    <w:qFormat/>
    <w:rsid w:val="00c2089c"/>
    <w:rPr>
      <w:rFonts w:cs="Times New Roman"/>
      <w:b/>
      <w:bCs/>
    </w:rPr>
  </w:style>
  <w:style w:type="character" w:styleId="Do" w:customStyle="1">
    <w:name w:val="do"/>
    <w:basedOn w:val="DefaultParagraphFont"/>
    <w:uiPriority w:val="99"/>
    <w:rsid w:val="00f51650"/>
    <w:rPr>
      <w:rFonts w:cs="Times New Roman"/>
    </w:rPr>
  </w:style>
  <w:style w:type="character" w:styleId="InternetLink">
    <w:name w:val="Internet Link"/>
    <w:basedOn w:val="DefaultParagraphFont"/>
    <w:uiPriority w:val="99"/>
    <w:semiHidden/>
    <w:rsid w:val="00550781"/>
    <w:rPr>
      <w:rFonts w:cs="Times New Roman"/>
      <w:color w:val="0000FF"/>
      <w:u w:val="single"/>
      <w:lang w:val="zxx" w:eastAsia="zxx" w:bidi="zxx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d00ae0"/>
    <w:rPr>
      <w:rFonts w:ascii="Segoe UI" w:hAnsi="Segoe UI" w:cs="Segoe UI"/>
      <w:sz w:val="18"/>
      <w:szCs w:val="18"/>
    </w:rPr>
  </w:style>
  <w:style w:type="character" w:styleId="BodyTextChar" w:customStyle="1">
    <w:name w:val="Body Text Char"/>
    <w:basedOn w:val="DefaultParagraphFont"/>
    <w:link w:val="TextBody"/>
    <w:uiPriority w:val="99"/>
    <w:locked/>
    <w:rsid w:val="00283928"/>
    <w:rPr>
      <w:rFonts w:cs="Times New Roman"/>
      <w:sz w:val="24"/>
      <w:szCs w:val="24"/>
      <w:lang w:val="en-US" w:bidi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xtBody" w:customStyle="1">
    <w:name w:val="Text Body"/>
    <w:basedOn w:val="Normal"/>
    <w:link w:val="BodyTextChar"/>
    <w:uiPriority w:val="99"/>
    <w:rsid w:val="00283928"/>
    <w:pPr>
      <w:suppressAutoHyphens w:val="true"/>
      <w:spacing w:lineRule="auto" w:line="240" w:before="0" w:after="0"/>
      <w:jc w:val="both"/>
    </w:pPr>
    <w:rPr>
      <w:rFonts w:ascii="Times New Roman" w:hAnsi="Times New Roman"/>
      <w:sz w:val="24"/>
      <w:szCs w:val="24"/>
      <w:lang w:val="en-US" w:eastAsia="ro-RO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rsid w:val="00c2089c"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d00ae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drept.ro/12002932.htm" TargetMode="External"/><Relationship Id="rId3" Type="http://schemas.openxmlformats.org/officeDocument/2006/relationships/hyperlink" Target="https://idrept.ro/12009965.htm" TargetMode="External"/><Relationship Id="rId4" Type="http://schemas.openxmlformats.org/officeDocument/2006/relationships/hyperlink" Target="https://idrept.ro/12009967.htm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7069</TotalTime>
  <Application>LibreOffice/4.3.5.2$Windows_x86 LibreOffice_project/3a87456aaa6a95c63eea1c1b3201acedf0751bd5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2018-03-19T13:36:00Z</dcterms:created>
  <dc:creator>Ildiko</dc:creator>
  <dc:language>ro-RO</dc:language>
  <cp:lastPrinted>2018-03-28T05:19:00Z</cp:lastPrinted>
  <dcterms:modified xsi:type="dcterms:W3CDTF">2018-03-29T15:58:26Z</dcterms:modified>
  <cp:revision>7</cp:revision>
</cp:coreProperties>
</file>